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765A7">
      <w:pPr>
        <w:pStyle w:val="Title"/>
      </w:pPr>
      <w:r>
        <w:t xml:space="preserve">Oct. </w:t>
      </w:r>
      <w:r w:rsidR="00182B3F">
        <w:t>22</w:t>
      </w:r>
      <w:r>
        <w:t xml:space="preserve">-Oct. </w:t>
      </w:r>
      <w:r w:rsidR="00182B3F">
        <w:t>27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62712" w:rsidRPr="00182B3F" w:rsidRDefault="00182B3F" w:rsidP="00D665EB">
            <w:r>
              <w:t>Begin Chapter 12:  Kinetics</w:t>
            </w:r>
          </w:p>
        </w:tc>
        <w:tc>
          <w:tcPr>
            <w:tcW w:w="1984" w:type="dxa"/>
          </w:tcPr>
          <w:p w:rsidR="00C62712" w:rsidRPr="00BB7BC5" w:rsidRDefault="00C62712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182B3F" w:rsidRDefault="00182B3F" w:rsidP="007F6348">
            <w:r>
              <w:t>Continue Chapter 12:  Method of Initial Rates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415BA6" w:rsidRPr="00C62712" w:rsidRDefault="00182B3F" w:rsidP="0095616B">
            <w:r>
              <w:t>Continue Chapter 12:  Integrated Rate Laws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415BA6" w:rsidRDefault="00182B3F" w:rsidP="008770D6">
            <w:r>
              <w:t>Continue Chapter 12:  Activation Energy &amp; the Arrhenius Equation</w:t>
            </w:r>
          </w:p>
          <w:p w:rsidR="00182B3F" w:rsidRPr="00182B3F" w:rsidRDefault="00182B3F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32428E" w:rsidRDefault="00182B3F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95616B" w:rsidRDefault="00182B3F" w:rsidP="008770D6">
            <w:r>
              <w:t>Laboratory Experiment:  Determination of Reaction Order for Decomposition of Blue #1 Food Dye</w:t>
            </w:r>
          </w:p>
          <w:p w:rsidR="00182B3F" w:rsidRPr="00182B3F" w:rsidRDefault="00182B3F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Default="00182B3F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11/2</w:t>
            </w:r>
          </w:p>
          <w:p w:rsidR="00182B3F" w:rsidRPr="00A4377F" w:rsidRDefault="00182B3F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(Same Day for FRQ)</w:t>
            </w: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E1" w:rsidRDefault="003266E1">
      <w:r>
        <w:separator/>
      </w:r>
    </w:p>
  </w:endnote>
  <w:endnote w:type="continuationSeparator" w:id="0">
    <w:p w:rsidR="003266E1" w:rsidRDefault="003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E1" w:rsidRDefault="003266E1">
      <w:r>
        <w:separator/>
      </w:r>
    </w:p>
  </w:footnote>
  <w:footnote w:type="continuationSeparator" w:id="0">
    <w:p w:rsidR="003266E1" w:rsidRDefault="0032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82B3F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0554D"/>
    <w:rsid w:val="00311E8A"/>
    <w:rsid w:val="00322AA9"/>
    <w:rsid w:val="0032428E"/>
    <w:rsid w:val="003266E1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6D696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2018-10-22T14:58:00Z</dcterms:created>
  <dcterms:modified xsi:type="dcterms:W3CDTF">2018-10-22T14:58:00Z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